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  <w:r w:rsidRPr="00B41A17">
        <w:rPr>
          <w:rFonts w:ascii="Times New Roman" w:hAnsi="Times New Roman" w:cs="Times New Roman"/>
          <w:b/>
          <w:bCs/>
          <w:sz w:val="24"/>
          <w:szCs w:val="24"/>
        </w:rPr>
        <w:t>ДУМА ТЕРНЕЙСКОГО МУНИЦИПАЛЬНОГО РАЙОНА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17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17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17">
        <w:rPr>
          <w:rFonts w:ascii="Times New Roman" w:hAnsi="Times New Roman" w:cs="Times New Roman"/>
          <w:b/>
          <w:bCs/>
          <w:sz w:val="24"/>
          <w:szCs w:val="24"/>
        </w:rPr>
        <w:t>от 20 сентября 2011 г. N 405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17">
        <w:rPr>
          <w:rFonts w:ascii="Times New Roman" w:hAnsi="Times New Roman" w:cs="Times New Roman"/>
          <w:b/>
          <w:bCs/>
          <w:sz w:val="24"/>
          <w:szCs w:val="24"/>
        </w:rPr>
        <w:t>О СИСТЕМЕ НАЛОГООБЛОЖЕНИЯ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17">
        <w:rPr>
          <w:rFonts w:ascii="Times New Roman" w:hAnsi="Times New Roman" w:cs="Times New Roman"/>
          <w:b/>
          <w:bCs/>
          <w:sz w:val="24"/>
          <w:szCs w:val="24"/>
        </w:rPr>
        <w:t>В ВИДЕ ЕДИНОГО НАЛОГА НА ВМЕНЕННЫЙ ДОХОД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17">
        <w:rPr>
          <w:rFonts w:ascii="Times New Roman" w:hAnsi="Times New Roman" w:cs="Times New Roman"/>
          <w:b/>
          <w:bCs/>
          <w:sz w:val="24"/>
          <w:szCs w:val="24"/>
        </w:rPr>
        <w:t>ДЛЯ ОТДЕЛЬНЫХ ВИДОВ ДЕЯТЕЛЬНОСТИ НА ТЕРРИТОРИИ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17">
        <w:rPr>
          <w:rFonts w:ascii="Times New Roman" w:hAnsi="Times New Roman" w:cs="Times New Roman"/>
          <w:b/>
          <w:bCs/>
          <w:sz w:val="24"/>
          <w:szCs w:val="24"/>
        </w:rPr>
        <w:t>ТЕРНЕЙСКОГО МУНИЦИПАЛЬНОГО РАЙОНА НА 2012 ГОД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1A1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B41A17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B41A17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B41A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B41A1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41A17">
        <w:rPr>
          <w:rFonts w:ascii="Times New Roman" w:hAnsi="Times New Roman" w:cs="Times New Roman"/>
          <w:sz w:val="24"/>
          <w:szCs w:val="24"/>
        </w:rPr>
        <w:t>от 26.01.2012 N 442)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1A17" w:rsidRPr="00B41A17" w:rsidRDefault="00B41A17" w:rsidP="00B41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A17">
        <w:rPr>
          <w:rFonts w:ascii="Times New Roman" w:hAnsi="Times New Roman" w:cs="Times New Roman"/>
          <w:sz w:val="24"/>
          <w:szCs w:val="24"/>
        </w:rPr>
        <w:t xml:space="preserve">Рассмотрев и обсудив представленный администрацией </w:t>
      </w:r>
      <w:proofErr w:type="spellStart"/>
      <w:r w:rsidRPr="00B41A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B41A17">
        <w:rPr>
          <w:rFonts w:ascii="Times New Roman" w:hAnsi="Times New Roman" w:cs="Times New Roman"/>
          <w:sz w:val="24"/>
          <w:szCs w:val="24"/>
        </w:rPr>
        <w:t xml:space="preserve"> муниципального района проект решения Думы </w:t>
      </w:r>
      <w:proofErr w:type="spellStart"/>
      <w:r w:rsidRPr="00B41A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B41A17">
        <w:rPr>
          <w:rFonts w:ascii="Times New Roman" w:hAnsi="Times New Roman" w:cs="Times New Roman"/>
          <w:sz w:val="24"/>
          <w:szCs w:val="24"/>
        </w:rPr>
        <w:t xml:space="preserve"> муниципального района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B41A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B41A17">
        <w:rPr>
          <w:rFonts w:ascii="Times New Roman" w:hAnsi="Times New Roman" w:cs="Times New Roman"/>
          <w:sz w:val="24"/>
          <w:szCs w:val="24"/>
        </w:rPr>
        <w:t xml:space="preserve"> муниципального района на 2012 год", руководствуясь </w:t>
      </w:r>
      <w:hyperlink r:id="rId5" w:history="1">
        <w:r w:rsidRPr="00B41A17">
          <w:rPr>
            <w:rFonts w:ascii="Times New Roman" w:hAnsi="Times New Roman" w:cs="Times New Roman"/>
            <w:sz w:val="24"/>
            <w:szCs w:val="24"/>
          </w:rPr>
          <w:t>ст. 346.26 главы 26.3</w:t>
        </w:r>
      </w:hyperlink>
      <w:r w:rsidRPr="00B41A17">
        <w:rPr>
          <w:rFonts w:ascii="Times New Roman" w:hAnsi="Times New Roman" w:cs="Times New Roman"/>
          <w:sz w:val="24"/>
          <w:szCs w:val="24"/>
        </w:rPr>
        <w:t xml:space="preserve"> части 2 Налогового кодекса Российской Федерации, Федеральным </w:t>
      </w:r>
      <w:hyperlink r:id="rId6" w:history="1">
        <w:r w:rsidRPr="00B41A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1A17">
        <w:rPr>
          <w:rFonts w:ascii="Times New Roman" w:hAnsi="Times New Roman" w:cs="Times New Roman"/>
          <w:sz w:val="24"/>
          <w:szCs w:val="24"/>
        </w:rPr>
        <w:t xml:space="preserve"> от 22 июля 2008 г. N 155-ФЗ "О внесении изменений в</w:t>
      </w:r>
      <w:proofErr w:type="gramEnd"/>
      <w:r w:rsidRPr="00B41A17">
        <w:rPr>
          <w:rFonts w:ascii="Times New Roman" w:hAnsi="Times New Roman" w:cs="Times New Roman"/>
          <w:sz w:val="24"/>
          <w:szCs w:val="24"/>
        </w:rPr>
        <w:t xml:space="preserve"> часть вторую, Федеральным </w:t>
      </w:r>
      <w:hyperlink r:id="rId7" w:history="1">
        <w:r w:rsidRPr="00B41A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1A17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B41A1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B41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B41A17">
        <w:rPr>
          <w:rFonts w:ascii="Times New Roman" w:hAnsi="Times New Roman" w:cs="Times New Roman"/>
          <w:sz w:val="24"/>
          <w:szCs w:val="24"/>
        </w:rPr>
        <w:t xml:space="preserve"> муниципального района, Дума </w:t>
      </w:r>
      <w:proofErr w:type="spellStart"/>
      <w:r w:rsidRPr="00B41A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B41A17">
        <w:rPr>
          <w:rFonts w:ascii="Times New Roman" w:hAnsi="Times New Roman" w:cs="Times New Roman"/>
          <w:sz w:val="24"/>
          <w:szCs w:val="24"/>
        </w:rPr>
        <w:t xml:space="preserve"> муниципального района решила: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1. Установить виды предпринимательской деятельности, в отношении которых вводится единый налог: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 xml:space="preserve">1) оказание бытовых услуг, их групп, подгрупп и (или) отдельных бытовых услуг, классифицируемых в соответствии с Общероссийским </w:t>
      </w:r>
      <w:hyperlink r:id="rId9" w:history="1">
        <w:r w:rsidRPr="00B41A17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B41A17">
        <w:rPr>
          <w:rFonts w:ascii="Times New Roman" w:hAnsi="Times New Roman" w:cs="Times New Roman"/>
          <w:sz w:val="24"/>
          <w:szCs w:val="24"/>
        </w:rPr>
        <w:t xml:space="preserve"> услуг населению;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автотранспортных средств;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автотранспортных средств, а также хранению автотранспортных средств на платных стоянках (за исключением штрафных автостоянок);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имеющих зала обслуживания посетителей;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11) размещение рекламы на транспортных средствах;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 xml:space="preserve"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</w:t>
      </w:r>
      <w:r w:rsidRPr="00B41A17">
        <w:rPr>
          <w:rFonts w:ascii="Times New Roman" w:hAnsi="Times New Roman" w:cs="Times New Roman"/>
          <w:sz w:val="24"/>
          <w:szCs w:val="24"/>
        </w:rPr>
        <w:lastRenderedPageBreak/>
        <w:t>общую площадь помещений для временного размещения и проживания не более 500 квадратных метров;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 xml:space="preserve">2. Установить значения корректирующего </w:t>
      </w:r>
      <w:hyperlink w:anchor="Par76" w:history="1">
        <w:r w:rsidRPr="00B41A17">
          <w:rPr>
            <w:rFonts w:ascii="Times New Roman" w:hAnsi="Times New Roman" w:cs="Times New Roman"/>
            <w:sz w:val="24"/>
            <w:szCs w:val="24"/>
          </w:rPr>
          <w:t>коэффициента</w:t>
        </w:r>
      </w:hyperlink>
      <w:r w:rsidRPr="00B41A17">
        <w:rPr>
          <w:rFonts w:ascii="Times New Roman" w:hAnsi="Times New Roman" w:cs="Times New Roman"/>
          <w:sz w:val="24"/>
          <w:szCs w:val="24"/>
        </w:rPr>
        <w:t xml:space="preserve"> базовой доходности К</w:t>
      </w:r>
      <w:proofErr w:type="gramStart"/>
      <w:r w:rsidRPr="00B41A1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41A17">
        <w:rPr>
          <w:rFonts w:ascii="Times New Roman" w:hAnsi="Times New Roman" w:cs="Times New Roman"/>
          <w:sz w:val="24"/>
          <w:szCs w:val="24"/>
        </w:rPr>
        <w:t>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 и иные особенности, на календарный год согласно приложению N 1 к настоящему решению.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При этом не учитывается количество календарных дней ведения предпринимательской деятельности в течение календарного месяца налогового периода.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3. Значения корректирующего коэффициента базовой доходности К</w:t>
      </w:r>
      <w:proofErr w:type="gramStart"/>
      <w:r w:rsidRPr="00B41A1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41A17">
        <w:rPr>
          <w:rFonts w:ascii="Times New Roman" w:hAnsi="Times New Roman" w:cs="Times New Roman"/>
          <w:sz w:val="24"/>
          <w:szCs w:val="24"/>
        </w:rPr>
        <w:t>, указанные в приложении к настоящему решению, с целью учета особенностей места ведения предпринимательской деятельности, в 2012 году применять со следующими коэффициентами: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734"/>
        <w:gridCol w:w="1708"/>
      </w:tblGrid>
      <w:tr w:rsidR="00B41A17">
        <w:trPr>
          <w:tblCellSpacing w:w="5" w:type="nil"/>
        </w:trPr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         Населенные пункты              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>Коэффициенты</w:t>
            </w:r>
          </w:p>
        </w:tc>
      </w:tr>
      <w:tr w:rsidR="00B41A17">
        <w:trPr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                 1               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2      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Пластун (населенные пункты, имеющие население</w:t>
            </w:r>
            <w:proofErr w:type="gramEnd"/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от 5 - 10 тыс. человек)               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    0,5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Терней (населенные пункты, имеющие население </w:t>
            </w:r>
            <w:proofErr w:type="gramEnd"/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от 1,0 до 5,0 тыс. человек)           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    0,4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Малая </w:t>
            </w:r>
            <w:proofErr w:type="spellStart"/>
            <w:r w:rsidRPr="00B41A17">
              <w:rPr>
                <w:rFonts w:ascii="Courier New" w:hAnsi="Courier New" w:cs="Courier New"/>
                <w:sz w:val="20"/>
                <w:szCs w:val="20"/>
              </w:rPr>
              <w:t>Кема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>, Светлая, Амгу (населенные пункты,</w:t>
            </w:r>
            <w:proofErr w:type="gramEnd"/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имеющие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население от 0,5 до 1,0 тыс. человек)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    0,3</w:t>
            </w:r>
          </w:p>
        </w:tc>
      </w:tr>
      <w:tr w:rsidR="00B41A17">
        <w:trPr>
          <w:trHeight w:val="600"/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41A17">
              <w:rPr>
                <w:rFonts w:ascii="Courier New" w:hAnsi="Courier New" w:cs="Courier New"/>
                <w:sz w:val="20"/>
                <w:szCs w:val="20"/>
              </w:rPr>
              <w:t>Агзу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B41A17">
              <w:rPr>
                <w:rFonts w:ascii="Courier New" w:hAnsi="Courier New" w:cs="Courier New"/>
                <w:sz w:val="20"/>
                <w:szCs w:val="20"/>
              </w:rPr>
              <w:t>Самарга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B41A17">
              <w:rPr>
                <w:rFonts w:ascii="Courier New" w:hAnsi="Courier New" w:cs="Courier New"/>
                <w:sz w:val="20"/>
                <w:szCs w:val="20"/>
              </w:rPr>
              <w:t>Перетычиха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B41A17">
              <w:rPr>
                <w:rFonts w:ascii="Courier New" w:hAnsi="Courier New" w:cs="Courier New"/>
                <w:sz w:val="20"/>
                <w:szCs w:val="20"/>
              </w:rPr>
              <w:t>Максимовка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,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Усть-Соболевка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(населенные пункты, имеющие   </w:t>
            </w:r>
            <w:proofErr w:type="gramEnd"/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население менее 0,5 тыс. человек)       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    0,1</w:t>
            </w:r>
          </w:p>
        </w:tc>
      </w:tr>
    </w:tbl>
    <w:p w:rsid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4. Настоящее решение опубликовать в газете "Вестник Тернея".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5. Настоящее решение вступает в силу с 1 января 2012 года, но не ранее одного месяца со дня его официального опубликования.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41A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41A17">
        <w:rPr>
          <w:rFonts w:ascii="Times New Roman" w:hAnsi="Times New Roman" w:cs="Times New Roman"/>
          <w:sz w:val="24"/>
          <w:szCs w:val="24"/>
        </w:rPr>
        <w:t xml:space="preserve">. 5 в ред. </w:t>
      </w:r>
      <w:hyperlink r:id="rId10" w:history="1">
        <w:r w:rsidRPr="00B41A17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B41A17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B41A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B41A17">
        <w:rPr>
          <w:rFonts w:ascii="Times New Roman" w:hAnsi="Times New Roman" w:cs="Times New Roman"/>
          <w:sz w:val="24"/>
          <w:szCs w:val="24"/>
        </w:rPr>
        <w:t xml:space="preserve"> муниципального района Приморского края от 26.01.2012 N 442)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 xml:space="preserve">И.о. главы </w:t>
      </w:r>
      <w:proofErr w:type="spellStart"/>
      <w:r w:rsidRPr="00B41A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B41A1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А.Н.АРИФУЛИНА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 w:rsidRPr="00B41A1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к решению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B41A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A17">
        <w:rPr>
          <w:rFonts w:ascii="Times New Roman" w:hAnsi="Times New Roman" w:cs="Times New Roman"/>
          <w:sz w:val="24"/>
          <w:szCs w:val="24"/>
        </w:rPr>
        <w:t>от 20.09.2011 N 405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76"/>
      <w:bookmarkEnd w:id="2"/>
      <w:r w:rsidRPr="00B41A17">
        <w:rPr>
          <w:rFonts w:ascii="Times New Roman" w:hAnsi="Times New Roman" w:cs="Times New Roman"/>
          <w:b/>
          <w:bCs/>
          <w:sz w:val="24"/>
          <w:szCs w:val="24"/>
        </w:rPr>
        <w:t>КОРРЕКТИРУЮЩИЙ</w:t>
      </w:r>
    </w:p>
    <w:p w:rsidR="00B41A17" w:rsidRPr="00B41A17" w:rsidRDefault="00B41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17">
        <w:rPr>
          <w:rFonts w:ascii="Times New Roman" w:hAnsi="Times New Roman" w:cs="Times New Roman"/>
          <w:b/>
          <w:bCs/>
          <w:sz w:val="24"/>
          <w:szCs w:val="24"/>
        </w:rPr>
        <w:t>КОЭФФИЦИЕНТ БАЗОВОЙ ДОХОДНОСТИ К</w:t>
      </w:r>
      <w:proofErr w:type="gramStart"/>
      <w:r w:rsidRPr="00B41A17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</w:p>
    <w:p w:rsid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564"/>
        <w:gridCol w:w="1220"/>
      </w:tblGrid>
      <w:tr w:rsidR="00B41A17">
        <w:trPr>
          <w:trHeight w:val="400"/>
          <w:tblCellSpacing w:w="5" w:type="nil"/>
        </w:trPr>
        <w:tc>
          <w:tcPr>
            <w:tcW w:w="7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                 Вид деятельности                     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>Значение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41A17">
              <w:rPr>
                <w:rFonts w:ascii="Courier New" w:hAnsi="Courier New" w:cs="Courier New"/>
                <w:sz w:val="20"/>
                <w:szCs w:val="20"/>
              </w:rPr>
              <w:t>коэф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>. К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</w:tc>
      </w:tr>
      <w:tr w:rsidR="00B41A17">
        <w:trPr>
          <w:trHeight w:val="6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>1. Оказание бытовых услуг, их групп, подгрупп, видов и (или)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отдельных бытовых услуг, тарифицируемых в соответствии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Общероссийским </w:t>
            </w:r>
            <w:hyperlink r:id="rId11" w:history="1">
              <w:r w:rsidRPr="00B41A17">
                <w:rPr>
                  <w:rFonts w:ascii="Courier New" w:hAnsi="Courier New" w:cs="Courier New"/>
                  <w:sz w:val="20"/>
                  <w:szCs w:val="20"/>
                </w:rPr>
                <w:t>классификатором</w:t>
              </w:r>
            </w:hyperlink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услуг населению: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83"/>
            <w:bookmarkEnd w:id="3"/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ремонт, окраска и пошив обуви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0,37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>- ремонт швейных, меховых и кожаных изделий, головных уборов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и изделий текстильной галантереи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пошив швейных, меховых и кожаных изделий, головных уборов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и изделий текстильной галантереи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rHeight w:val="6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прочие услуги по ремонту и пошиву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, меховых и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кожаных изделий, головных уборов и изделий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галантереи           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ремонт трикотажных изделий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пошив и вязание трикотажных изделий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прочие услуги при пошиве и вязании трикотажных изделий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0,44</w:t>
            </w:r>
          </w:p>
        </w:tc>
      </w:tr>
      <w:tr w:rsidR="00B41A17">
        <w:trPr>
          <w:trHeight w:val="6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ремонт и техническое обслуживание бытовой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радиоэлектронной</w:t>
            </w:r>
            <w:proofErr w:type="gramEnd"/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аппаратуры, бытовых машин и бытовых приборов, ремонт и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изготовление металлоизделий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ремонт мебели      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0,59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химическая чистка и крашение, услуги прачечных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0,59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ремонт жилья и других построек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>- услуги фотоателье, фот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proofErr w:type="spellStart"/>
            <w:r w:rsidRPr="00B41A17">
              <w:rPr>
                <w:rFonts w:ascii="Courier New" w:hAnsi="Courier New" w:cs="Courier New"/>
                <w:sz w:val="20"/>
                <w:szCs w:val="20"/>
              </w:rPr>
              <w:t>кинолабораторий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0,66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прочие услуги производственного характера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услуги бань и душевых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0,30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прочие услуги, оказываемые в банях и душевых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услуги парикмахерских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0,59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услуги предприятий по прокату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обрядовые услуги   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прочие услуги непроизводственного характера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2. Оказание ветеринарных услуг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131"/>
            <w:bookmarkEnd w:id="4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3. Оказание услуг по ремонту, техническому обслуживанию и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мойке автотранспортных средств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133"/>
            <w:bookmarkEnd w:id="5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0,85</w:t>
            </w:r>
          </w:p>
        </w:tc>
      </w:tr>
      <w:tr w:rsidR="00B41A17">
        <w:trPr>
          <w:trHeight w:val="8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4. Оказание услуг по предоставлению во временное владение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(пользование) мест для стоянки автотранспортных средств, а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также по хранению автотранспортных средств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платных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стоянках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(за исключением штрафных автостоянок)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136"/>
            <w:bookmarkEnd w:id="6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5. Оказание автотранспортных услуг: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41"/>
            <w:bookmarkEnd w:id="7"/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по перевозке грузов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по перевозке пассажиров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0,30</w:t>
            </w:r>
          </w:p>
        </w:tc>
      </w:tr>
      <w:tr w:rsidR="00B41A17">
        <w:trPr>
          <w:trHeight w:val="6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 Розничная торговля, осуществляемая через магазины и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павильоны с площадью торгового зала не более 150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метров по каждому объекту организации торговли: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47"/>
            <w:bookmarkEnd w:id="8"/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продовольственными товарами: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включая алкогольную продукцию и табачные изделия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0,92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продовольственными товарами за исключением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алкогольной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и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табачной продукции   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0,55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непродовольственными товарами: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ювелирными изделиями и оружием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0,85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головными уборами и одеждой из натуральной кожи, меха,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замши, меховых шкурок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0,85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электробытовой техникой, </w:t>
            </w:r>
            <w:proofErr w:type="spellStart"/>
            <w:r w:rsidRPr="00B41A17">
              <w:rPr>
                <w:rFonts w:ascii="Courier New" w:hAnsi="Courier New" w:cs="Courier New"/>
                <w:sz w:val="20"/>
                <w:szCs w:val="20"/>
              </w:rPr>
              <w:t>телерадиоаппаратурой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,     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вычислительной и оргтехникой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0,85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лодками, мотолодками, катерами прогулочными, яхтами,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41A17">
              <w:rPr>
                <w:rFonts w:ascii="Courier New" w:hAnsi="Courier New" w:cs="Courier New"/>
                <w:sz w:val="20"/>
                <w:szCs w:val="20"/>
              </w:rPr>
              <w:t>виндсерфами</w:t>
            </w:r>
            <w:proofErr w:type="spell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, водными мотоциклами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0,85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комиссионная торговля, за исключением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автотранспортных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средств и ювелирных изделий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0,42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исключительно книгопечатной продукцией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0,46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прочими видами непродовольственных товаров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0,69</w:t>
            </w:r>
          </w:p>
        </w:tc>
      </w:tr>
      <w:tr w:rsidR="00B41A17">
        <w:trPr>
          <w:trHeight w:val="8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7. Розничная торговля, осуществляемая через объекты  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имеющей торговых залов, и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 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сети: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178"/>
            <w:bookmarkEnd w:id="9"/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исключительно хлебом и хлебобулочными изделиями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0,58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исключительно газетно-журнальной продукцией,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канцелярскими</w:t>
            </w:r>
            <w:proofErr w:type="gramEnd"/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товарами             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0,67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всеми группами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и непродовольственных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товаров              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0,85</w:t>
            </w:r>
          </w:p>
        </w:tc>
      </w:tr>
      <w:tr w:rsidR="00B41A17">
        <w:trPr>
          <w:trHeight w:val="8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8. Оказание услуг общественного питания, осуществляемых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через объекты организации общественного питания с площадью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>зала обслуживания посетителей не более 150 квадратных метров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по каждому объекту организации общественного питания: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91"/>
            <w:bookmarkEnd w:id="10"/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деятельность столовых с реализацией алкогольной продукции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>- деятельность столовых без реализации алкогольной продукции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0,37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деятельность ресторанов, баров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деятельность кафе, закусочных, буфетов с реализацией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алкогольной продукции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- деятельность кафе, закусочных, буфетов без реализации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алкогольной продукции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0,37</w:t>
            </w:r>
          </w:p>
        </w:tc>
      </w:tr>
      <w:tr w:rsidR="00B41A17">
        <w:trPr>
          <w:trHeight w:val="6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9. Оказание услуг общественного питания, осуществляемых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через объекты организации общественного питания, не имеющие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зала обслуживания посетителей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08"/>
            <w:bookmarkEnd w:id="11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0,74</w:t>
            </w:r>
          </w:p>
        </w:tc>
      </w:tr>
      <w:tr w:rsidR="00B41A17">
        <w:trPr>
          <w:trHeight w:val="4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10. Распространение наружной рекламы с использованием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конструкций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12"/>
            <w:bookmarkEnd w:id="12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0,23</w:t>
            </w:r>
          </w:p>
        </w:tc>
      </w:tr>
      <w:tr w:rsidR="00B41A17">
        <w:trPr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11. Размещение рекламы на транспортных средствах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15"/>
            <w:bookmarkEnd w:id="13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0,23</w:t>
            </w:r>
          </w:p>
        </w:tc>
      </w:tr>
      <w:tr w:rsidR="00B41A17">
        <w:trPr>
          <w:trHeight w:val="10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12. Оказание услуг по временному размещению и проживанию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организациями и предпринимателями, использующими в каждом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объекте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данных услуг общую площадь помещений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для временного размещения и проживания не более 500  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217"/>
            <w:bookmarkEnd w:id="14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0,67</w:t>
            </w:r>
          </w:p>
        </w:tc>
      </w:tr>
      <w:tr w:rsidR="00B41A17">
        <w:trPr>
          <w:trHeight w:val="12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>13. Оказание услуг по передаче во временное владение и (или)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в пользование торговых мест, расположенных в объектах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имеющих торговых залов,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а также объектов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не </w:t>
            </w:r>
            <w:proofErr w:type="gramStart"/>
            <w:r w:rsidRPr="00B41A17"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зала   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223"/>
            <w:bookmarkEnd w:id="15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0,37</w:t>
            </w:r>
          </w:p>
        </w:tc>
      </w:tr>
      <w:tr w:rsidR="00B41A17">
        <w:trPr>
          <w:trHeight w:val="800"/>
          <w:tblCellSpacing w:w="5" w:type="nil"/>
        </w:trPr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>14. Оказание услуг по передаче во временное владение и (или)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в пользование земельных участков для размещения объектов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стационарной и нестационарной торговой сети, а также        </w:t>
            </w:r>
          </w:p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                  </w:t>
            </w: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A17" w:rsidRPr="00B41A17" w:rsidRDefault="00B4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6" w:name="Par230"/>
            <w:bookmarkEnd w:id="16"/>
            <w:r w:rsidRPr="00B41A17">
              <w:rPr>
                <w:rFonts w:ascii="Courier New" w:hAnsi="Courier New" w:cs="Courier New"/>
                <w:sz w:val="20"/>
                <w:szCs w:val="20"/>
              </w:rPr>
              <w:t xml:space="preserve">    0,30</w:t>
            </w:r>
          </w:p>
        </w:tc>
      </w:tr>
    </w:tbl>
    <w:p w:rsid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1A17" w:rsidRDefault="00B41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4380" w:rsidRPr="00B41A17" w:rsidRDefault="005A4380">
      <w:pPr>
        <w:rPr>
          <w:lang w:val="en-US"/>
        </w:rPr>
      </w:pPr>
    </w:p>
    <w:sectPr w:rsidR="005A4380" w:rsidRPr="00B41A17" w:rsidSect="00C0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A17"/>
    <w:rsid w:val="005A4380"/>
    <w:rsid w:val="00B4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E24E09E89B0F73371FC6C04EA6172B8A2985F353C7EB20BA36BB25BB0FEADD895A780498FA6FB8DBB03P500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1E24E09E89B0F73371E26112863F7DB9AFC050313B72E25FFC30EF0CB9F4FA9FDAFEC20D82A6FFP80F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1E24E09E89B0F73371E26112863F7DB9AAC754323A72E25FFC30EF0CPB09E" TargetMode="External"/><Relationship Id="rId11" Type="http://schemas.openxmlformats.org/officeDocument/2006/relationships/hyperlink" Target="consultantplus://offline/ref=151E24E09E89B0F73371E26112863F7DB9ACCE55373C72E25FFC30EF0CPB09E" TargetMode="External"/><Relationship Id="rId5" Type="http://schemas.openxmlformats.org/officeDocument/2006/relationships/hyperlink" Target="consultantplus://offline/ref=151E24E09E89B0F73371E26112863F7DB9AEC7513B3C72E25FFC30EF0CB9F4FA9FDAFEC20D81A0F9P808E" TargetMode="External"/><Relationship Id="rId10" Type="http://schemas.openxmlformats.org/officeDocument/2006/relationships/hyperlink" Target="consultantplus://offline/ref=151E24E09E89B0F73371FC6C04EA6172B8A2985F373E7EB502A36BB25BB0FEADD895A780498FA6FB8DB906P500E" TargetMode="External"/><Relationship Id="rId4" Type="http://schemas.openxmlformats.org/officeDocument/2006/relationships/hyperlink" Target="consultantplus://offline/ref=151E24E09E89B0F73371FC6C04EA6172B8A2985F373E7EB502A36BB25BB0FEADD895A780498FA6FB8DB906P500E" TargetMode="External"/><Relationship Id="rId9" Type="http://schemas.openxmlformats.org/officeDocument/2006/relationships/hyperlink" Target="consultantplus://offline/ref=151E24E09E89B0F73371E26112863F7DB9ACCE55373C72E25FFC30EF0CPB0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1928</Words>
  <Characters>10991</Characters>
  <Application>Microsoft Office Word</Application>
  <DocSecurity>0</DocSecurity>
  <Lines>91</Lines>
  <Paragraphs>25</Paragraphs>
  <ScaleCrop>false</ScaleCrop>
  <Company>Federal Tax Service of Russia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2500-31-200</dc:creator>
  <cp:keywords/>
  <dc:description/>
  <cp:lastModifiedBy>2500-31-200</cp:lastModifiedBy>
  <cp:revision>1</cp:revision>
  <dcterms:created xsi:type="dcterms:W3CDTF">2014-12-31T04:52:00Z</dcterms:created>
  <dcterms:modified xsi:type="dcterms:W3CDTF">2014-12-31T04:55:00Z</dcterms:modified>
</cp:coreProperties>
</file>